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3F23" w14:textId="1CF6F083" w:rsidR="00E253E8" w:rsidRDefault="00E253E8" w:rsidP="00183727">
      <w:pPr>
        <w:spacing w:after="0" w:line="240" w:lineRule="auto"/>
        <w:rPr>
          <w:b/>
          <w:sz w:val="26"/>
          <w:szCs w:val="26"/>
          <w:u w:val="single"/>
        </w:rPr>
      </w:pPr>
    </w:p>
    <w:p w14:paraId="2FFAD4BE" w14:textId="7FF1E39B" w:rsidR="00E253E8" w:rsidRPr="0007667B" w:rsidRDefault="00E253E8" w:rsidP="00E253E8">
      <w:pPr>
        <w:spacing w:after="0" w:line="240" w:lineRule="auto"/>
        <w:jc w:val="center"/>
        <w:rPr>
          <w:b/>
          <w:sz w:val="30"/>
          <w:szCs w:val="30"/>
        </w:rPr>
      </w:pPr>
      <w:r w:rsidRPr="0007667B">
        <w:rPr>
          <w:b/>
          <w:sz w:val="30"/>
          <w:szCs w:val="30"/>
        </w:rPr>
        <w:t>Frequently Asked Questions about the New Rates</w:t>
      </w:r>
    </w:p>
    <w:p w14:paraId="44C04B40" w14:textId="473DBDDF" w:rsidR="00E253E8" w:rsidRPr="00207201" w:rsidRDefault="00E253E8" w:rsidP="00E253E8">
      <w:pPr>
        <w:spacing w:after="0" w:line="240" w:lineRule="auto"/>
        <w:rPr>
          <w:b/>
          <w:u w:val="single"/>
        </w:rPr>
      </w:pPr>
    </w:p>
    <w:p w14:paraId="2013A201" w14:textId="6E9AF76C" w:rsidR="00E253E8" w:rsidRPr="0016680B" w:rsidRDefault="00E253E8" w:rsidP="00E253E8">
      <w:pPr>
        <w:spacing w:after="0" w:line="240" w:lineRule="auto"/>
        <w:rPr>
          <w:sz w:val="18"/>
          <w:szCs w:val="18"/>
        </w:rPr>
      </w:pPr>
    </w:p>
    <w:p w14:paraId="2C3ACC58" w14:textId="21268C01" w:rsidR="00E253E8" w:rsidRDefault="00E253E8" w:rsidP="00E253E8">
      <w:pPr>
        <w:spacing w:after="0" w:line="240" w:lineRule="auto"/>
        <w:rPr>
          <w:b/>
          <w:sz w:val="26"/>
          <w:szCs w:val="26"/>
          <w:u w:val="single"/>
        </w:rPr>
      </w:pPr>
      <w:r w:rsidRPr="0016680B">
        <w:rPr>
          <w:b/>
          <w:sz w:val="26"/>
          <w:szCs w:val="26"/>
          <w:u w:val="single"/>
        </w:rPr>
        <w:t xml:space="preserve">How </w:t>
      </w:r>
      <w:r>
        <w:rPr>
          <w:b/>
          <w:sz w:val="26"/>
          <w:szCs w:val="26"/>
          <w:u w:val="single"/>
        </w:rPr>
        <w:t>much more will I pay under the new rates</w:t>
      </w:r>
      <w:r w:rsidRPr="0016680B">
        <w:rPr>
          <w:b/>
          <w:sz w:val="26"/>
          <w:szCs w:val="26"/>
          <w:u w:val="single"/>
        </w:rPr>
        <w:t>?</w:t>
      </w:r>
    </w:p>
    <w:p w14:paraId="54001824" w14:textId="43652F66" w:rsidR="00CC3686" w:rsidRPr="00AC4430" w:rsidRDefault="00CC3686" w:rsidP="00E253E8">
      <w:pPr>
        <w:spacing w:after="0" w:line="240" w:lineRule="auto"/>
        <w:rPr>
          <w:b/>
          <w:u w:val="single"/>
        </w:rPr>
      </w:pPr>
    </w:p>
    <w:p w14:paraId="741BCE87" w14:textId="6C69E77C" w:rsidR="00E253E8" w:rsidRDefault="00E253E8" w:rsidP="00E253E8">
      <w:pPr>
        <w:spacing w:after="0" w:line="240" w:lineRule="auto"/>
      </w:pPr>
      <w:r w:rsidRPr="00206878">
        <w:rPr>
          <w:b/>
          <w:u w:val="single"/>
        </w:rPr>
        <w:t>Only</w:t>
      </w:r>
      <w:r w:rsidRPr="00206878">
        <w:rPr>
          <w:b/>
        </w:rPr>
        <w:t xml:space="preserve"> the Base Rate is changing this year, rising by $</w:t>
      </w:r>
      <w:r w:rsidR="00B844E4">
        <w:rPr>
          <w:b/>
        </w:rPr>
        <w:t>5</w:t>
      </w:r>
      <w:r w:rsidRPr="00206878">
        <w:rPr>
          <w:b/>
        </w:rPr>
        <w:t xml:space="preserve">.00 per month, per meter. </w:t>
      </w:r>
      <w:r w:rsidR="00CC3686">
        <w:t>To the right</w:t>
      </w:r>
      <w:r w:rsidR="00721193">
        <w:t xml:space="preserve"> is an example of how the new rates will affect your bill in comparison to the current rates</w:t>
      </w:r>
      <w:r w:rsidR="00CC3686">
        <w:t>.</w:t>
      </w:r>
    </w:p>
    <w:p w14:paraId="35E277DC" w14:textId="4C1CF77B" w:rsidR="00A40E77" w:rsidRDefault="00A40E77" w:rsidP="00E253E8">
      <w:pPr>
        <w:spacing w:after="0" w:line="240" w:lineRule="auto"/>
      </w:pPr>
    </w:p>
    <w:p w14:paraId="0E4F0B3E" w14:textId="7B9C318C" w:rsidR="00A40E77" w:rsidRPr="00CC3686" w:rsidRDefault="00A40E77" w:rsidP="00E253E8">
      <w:pPr>
        <w:spacing w:after="0" w:line="240" w:lineRule="auto"/>
      </w:pPr>
      <w:r w:rsidRPr="00756903">
        <w:rPr>
          <w:noProof/>
        </w:rPr>
        <w:drawing>
          <wp:anchor distT="0" distB="0" distL="114300" distR="114300" simplePos="0" relativeHeight="251651584" behindDoc="0" locked="0" layoutInCell="1" allowOverlap="1" wp14:anchorId="0A4EEBCD" wp14:editId="61649C1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600575" cy="240855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BF4A1" w14:textId="1C002706" w:rsidR="00E253E8" w:rsidRDefault="00E253E8" w:rsidP="00756903">
      <w:pPr>
        <w:spacing w:after="0" w:line="240" w:lineRule="auto"/>
        <w:jc w:val="center"/>
        <w:rPr>
          <w:noProof/>
          <w:sz w:val="18"/>
          <w:szCs w:val="18"/>
        </w:rPr>
      </w:pPr>
    </w:p>
    <w:p w14:paraId="5C9542DF" w14:textId="047AF1D5" w:rsidR="006A1BFE" w:rsidRDefault="006A1BFE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52AD42A5" w14:textId="06476BFB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1E93ECC1" w14:textId="39F34A88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74F4223A" w14:textId="54D20AF9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18FBCEB2" w14:textId="0F354D25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0ADD4D0D" w14:textId="66E19F92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78B3988D" w14:textId="77777777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171E4739" w14:textId="77777777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6375E89B" w14:textId="77777777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1353722E" w14:textId="77777777" w:rsidR="00A40E77" w:rsidRDefault="00A40E77" w:rsidP="00E253E8">
      <w:pPr>
        <w:spacing w:after="0" w:line="240" w:lineRule="auto"/>
        <w:rPr>
          <w:b/>
          <w:sz w:val="26"/>
          <w:szCs w:val="26"/>
          <w:u w:val="single"/>
        </w:rPr>
      </w:pPr>
    </w:p>
    <w:p w14:paraId="0DE25D1C" w14:textId="77777777" w:rsidR="0010575D" w:rsidRDefault="0010575D" w:rsidP="0010575D">
      <w:pPr>
        <w:spacing w:after="0" w:line="240" w:lineRule="auto"/>
        <w:rPr>
          <w:b/>
          <w:sz w:val="26"/>
          <w:szCs w:val="26"/>
          <w:u w:val="single"/>
        </w:rPr>
      </w:pPr>
    </w:p>
    <w:p w14:paraId="39FF904A" w14:textId="77777777" w:rsidR="0010575D" w:rsidRDefault="0010575D" w:rsidP="0010575D">
      <w:pPr>
        <w:spacing w:after="0" w:line="240" w:lineRule="auto"/>
        <w:rPr>
          <w:b/>
          <w:sz w:val="26"/>
          <w:szCs w:val="26"/>
          <w:u w:val="single"/>
        </w:rPr>
      </w:pPr>
    </w:p>
    <w:p w14:paraId="1AC1B399" w14:textId="15FA2F91" w:rsidR="00CC3686" w:rsidRDefault="00E253E8" w:rsidP="0010575D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Wh</w:t>
      </w:r>
      <w:r w:rsidRPr="00887492">
        <w:rPr>
          <w:b/>
          <w:sz w:val="26"/>
          <w:szCs w:val="26"/>
          <w:u w:val="single"/>
        </w:rPr>
        <w:t>at is the Board doing to control costs</w:t>
      </w:r>
      <w:r>
        <w:rPr>
          <w:b/>
          <w:sz w:val="26"/>
          <w:szCs w:val="26"/>
          <w:u w:val="single"/>
        </w:rPr>
        <w:t xml:space="preserve"> and </w:t>
      </w:r>
      <w:proofErr w:type="gramStart"/>
      <w:r>
        <w:rPr>
          <w:b/>
          <w:sz w:val="26"/>
          <w:szCs w:val="26"/>
          <w:u w:val="single"/>
        </w:rPr>
        <w:t>plan for the future</w:t>
      </w:r>
      <w:proofErr w:type="gramEnd"/>
      <w:r w:rsidR="0010575D">
        <w:rPr>
          <w:b/>
          <w:sz w:val="26"/>
          <w:szCs w:val="26"/>
          <w:u w:val="single"/>
        </w:rPr>
        <w:t>?</w:t>
      </w:r>
    </w:p>
    <w:p w14:paraId="0542E90F" w14:textId="77777777" w:rsidR="0010575D" w:rsidRPr="0010575D" w:rsidRDefault="0010575D" w:rsidP="0010575D">
      <w:pPr>
        <w:spacing w:after="0" w:line="240" w:lineRule="auto"/>
        <w:rPr>
          <w:b/>
          <w:sz w:val="26"/>
          <w:szCs w:val="26"/>
          <w:u w:val="single"/>
        </w:rPr>
      </w:pPr>
    </w:p>
    <w:p w14:paraId="184B4071" w14:textId="61BCD75F" w:rsidR="00E253E8" w:rsidRDefault="00E253E8" w:rsidP="00E253E8">
      <w:pPr>
        <w:spacing w:after="0" w:line="240" w:lineRule="auto"/>
      </w:pPr>
      <w:r w:rsidRPr="001E3104">
        <w:rPr>
          <w:b/>
        </w:rPr>
        <w:t xml:space="preserve">Every member of the Board – </w:t>
      </w:r>
      <w:r w:rsidRPr="001E3104">
        <w:rPr>
          <w:b/>
          <w:i/>
        </w:rPr>
        <w:t xml:space="preserve">and </w:t>
      </w:r>
      <w:proofErr w:type="gramStart"/>
      <w:r>
        <w:rPr>
          <w:b/>
          <w:i/>
        </w:rPr>
        <w:t>the majority of</w:t>
      </w:r>
      <w:proofErr w:type="gramEnd"/>
      <w:r w:rsidRPr="001E3104">
        <w:rPr>
          <w:b/>
          <w:i/>
        </w:rPr>
        <w:t xml:space="preserve"> Staff </w:t>
      </w:r>
      <w:r>
        <w:rPr>
          <w:b/>
        </w:rPr>
        <w:t>– are also</w:t>
      </w:r>
      <w:r w:rsidRPr="001E3104">
        <w:rPr>
          <w:b/>
        </w:rPr>
        <w:t xml:space="preserve"> Customer</w:t>
      </w:r>
      <w:r>
        <w:rPr>
          <w:b/>
        </w:rPr>
        <w:t>s</w:t>
      </w:r>
      <w:r w:rsidRPr="001E3104">
        <w:rPr>
          <w:b/>
        </w:rPr>
        <w:t xml:space="preserve"> of Moffat Water Supply.</w:t>
      </w:r>
      <w:r>
        <w:t xml:space="preserve">  Our shared duty is to ensure </w:t>
      </w:r>
      <w:r w:rsidRPr="001E3104">
        <w:rPr>
          <w:b/>
        </w:rPr>
        <w:t>SOUND</w:t>
      </w:r>
      <w:r>
        <w:t xml:space="preserve"> operations, a </w:t>
      </w:r>
      <w:r w:rsidRPr="001E3104">
        <w:rPr>
          <w:b/>
        </w:rPr>
        <w:t>SAFE</w:t>
      </w:r>
      <w:r>
        <w:t xml:space="preserve"> drinking supply, and a financially </w:t>
      </w:r>
      <w:r w:rsidRPr="001E3104">
        <w:rPr>
          <w:b/>
        </w:rPr>
        <w:t>SOLVENT</w:t>
      </w:r>
      <w:r>
        <w:t xml:space="preserve"> organization.</w:t>
      </w:r>
      <w:r w:rsidR="00AB1F95">
        <w:t xml:space="preserve"> The Board and Staff are </w:t>
      </w:r>
      <w:r w:rsidR="00347FF9">
        <w:t xml:space="preserve">committed to managing expenses in the most efficient way while remaining mindful of </w:t>
      </w:r>
      <w:r w:rsidR="00EA1EC8">
        <w:t>our duty to provide quality water service and a sustainable future for MWSC.</w:t>
      </w:r>
    </w:p>
    <w:p w14:paraId="75E4EC3F" w14:textId="77777777" w:rsidR="00E909C8" w:rsidRDefault="00E909C8" w:rsidP="00E253E8">
      <w:pPr>
        <w:spacing w:after="0" w:line="240" w:lineRule="auto"/>
      </w:pPr>
    </w:p>
    <w:p w14:paraId="19F3EB12" w14:textId="4C2E857F" w:rsidR="00E253E8" w:rsidRDefault="00E909C8" w:rsidP="00E253E8">
      <w:pPr>
        <w:spacing w:after="0" w:line="240" w:lineRule="auto"/>
      </w:pPr>
      <w:r>
        <w:t>W</w:t>
      </w:r>
      <w:r w:rsidR="00B40885">
        <w:t xml:space="preserve">ith the recent </w:t>
      </w:r>
      <w:r w:rsidR="00782C50">
        <w:t xml:space="preserve">acceptance </w:t>
      </w:r>
      <w:r w:rsidR="00B40885">
        <w:t>of a Texas Water Development Board loan</w:t>
      </w:r>
      <w:r w:rsidR="00782C50">
        <w:t>,</w:t>
      </w:r>
      <w:r w:rsidR="00FF6BDA">
        <w:t xml:space="preserve"> MWSC will be </w:t>
      </w:r>
      <w:r w:rsidR="00782C50">
        <w:t>using</w:t>
      </w:r>
      <w:r w:rsidR="00FF6BDA">
        <w:t xml:space="preserve"> those funds</w:t>
      </w:r>
      <w:r w:rsidR="00E3219A">
        <w:t xml:space="preserve"> to establish more source water and additional elevated water storage</w:t>
      </w:r>
      <w:r w:rsidR="00AB1F95">
        <w:t xml:space="preserve"> for our</w:t>
      </w:r>
      <w:r w:rsidR="003B3230">
        <w:t xml:space="preserve"> water system</w:t>
      </w:r>
      <w:r w:rsidR="00E3219A">
        <w:t xml:space="preserve">. </w:t>
      </w:r>
      <w:r w:rsidR="00E253E8">
        <w:t xml:space="preserve">Payments on this $3.3 Million loan </w:t>
      </w:r>
      <w:r w:rsidR="006A1BFE">
        <w:t>began</w:t>
      </w:r>
      <w:r w:rsidR="00E253E8">
        <w:t xml:space="preserve"> October of 2019 </w:t>
      </w:r>
      <w:r w:rsidR="00E253E8" w:rsidRPr="00F40ECD">
        <w:rPr>
          <w:sz w:val="18"/>
        </w:rPr>
        <w:t>(Fiscal Year 2019-2020)</w:t>
      </w:r>
      <w:r w:rsidR="00E253E8">
        <w:t>.</w:t>
      </w:r>
    </w:p>
    <w:p w14:paraId="3D8DD7F9" w14:textId="77777777" w:rsidR="00E253E8" w:rsidRDefault="00E253E8" w:rsidP="00E253E8">
      <w:pPr>
        <w:spacing w:after="0" w:line="240" w:lineRule="auto"/>
      </w:pPr>
    </w:p>
    <w:p w14:paraId="711501F4" w14:textId="037CD93C" w:rsidR="0010575D" w:rsidRPr="00AF2396" w:rsidRDefault="00EA1EC8" w:rsidP="00D1128D">
      <w:pPr>
        <w:spacing w:after="0" w:line="240" w:lineRule="auto"/>
      </w:pPr>
      <w:r>
        <w:t xml:space="preserve">Cash on-hand funds will finance other system improvements such as </w:t>
      </w:r>
      <w:r w:rsidR="00E909C8">
        <w:t xml:space="preserve">major line upgrades in the Highway 36 and Aycock Road area </w:t>
      </w:r>
      <w:r>
        <w:t xml:space="preserve">that </w:t>
      </w:r>
      <w:r w:rsidR="00E909C8">
        <w:t>are already underway to help deliver more water to our most heavily populated distribution areas.</w:t>
      </w:r>
    </w:p>
    <w:p w14:paraId="5DE0F638" w14:textId="77777777" w:rsidR="0010575D" w:rsidRDefault="0010575D" w:rsidP="00D1128D">
      <w:pPr>
        <w:spacing w:after="0" w:line="240" w:lineRule="auto"/>
        <w:rPr>
          <w:b/>
          <w:sz w:val="26"/>
          <w:szCs w:val="26"/>
          <w:u w:val="single"/>
        </w:rPr>
      </w:pPr>
    </w:p>
    <w:p w14:paraId="3EE6655F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4F77DBB2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1CB6CCB6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1D64E703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5012252C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33E5BB11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144479A7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4E55BD4E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68039AA3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3F639DCD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65E31048" w14:textId="77777777" w:rsidR="00AF2396" w:rsidRDefault="00AF2396" w:rsidP="00AF2396">
      <w:pPr>
        <w:spacing w:after="0" w:line="240" w:lineRule="auto"/>
        <w:rPr>
          <w:b/>
          <w:sz w:val="26"/>
          <w:szCs w:val="26"/>
          <w:u w:val="single"/>
        </w:rPr>
      </w:pPr>
    </w:p>
    <w:p w14:paraId="6C17D7BE" w14:textId="374D563A" w:rsidR="007E20BA" w:rsidRDefault="00E2769B" w:rsidP="00E45680">
      <w:pPr>
        <w:spacing w:after="0" w:line="240" w:lineRule="auto"/>
      </w:pPr>
      <w:r w:rsidRPr="003218E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3D44CD" wp14:editId="1EE64374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6852285" cy="3026410"/>
            <wp:effectExtent l="0" t="0" r="5715" b="254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8E9">
        <w:rPr>
          <w:b/>
          <w:sz w:val="26"/>
          <w:szCs w:val="26"/>
          <w:u w:val="single"/>
        </w:rPr>
        <w:t>W</w:t>
      </w:r>
      <w:r w:rsidR="00BB5BCE">
        <w:rPr>
          <w:b/>
          <w:sz w:val="26"/>
          <w:szCs w:val="26"/>
          <w:u w:val="single"/>
        </w:rPr>
        <w:t>hy do we need a rate increase</w:t>
      </w:r>
      <w:r>
        <w:rPr>
          <w:b/>
          <w:sz w:val="26"/>
          <w:szCs w:val="26"/>
          <w:u w:val="single"/>
        </w:rPr>
        <w:t>?</w:t>
      </w:r>
    </w:p>
    <w:p w14:paraId="1000A6B5" w14:textId="77777777" w:rsidR="002203D7" w:rsidRDefault="002203D7" w:rsidP="00E45680">
      <w:pPr>
        <w:spacing w:after="0" w:line="240" w:lineRule="auto"/>
      </w:pPr>
    </w:p>
    <w:p w14:paraId="4DA3B396" w14:textId="3F97A388" w:rsidR="00A40E77" w:rsidRDefault="004C1650" w:rsidP="00E45680">
      <w:pPr>
        <w:spacing w:after="0" w:line="240" w:lineRule="auto"/>
      </w:pPr>
      <w:r>
        <w:t>Th</w:t>
      </w:r>
      <w:r w:rsidR="00260869">
        <w:t>e</w:t>
      </w:r>
      <w:r w:rsidR="0075236A">
        <w:t xml:space="preserve"> </w:t>
      </w:r>
      <w:r w:rsidR="0075236A" w:rsidRPr="0075236A">
        <w:rPr>
          <w:b/>
        </w:rPr>
        <w:t>Profit &amp; Loss S</w:t>
      </w:r>
      <w:r w:rsidR="00260869">
        <w:rPr>
          <w:b/>
        </w:rPr>
        <w:t>ummary</w:t>
      </w:r>
      <w:r w:rsidR="00585E7A">
        <w:rPr>
          <w:rStyle w:val="FootnoteReference"/>
          <w:b/>
        </w:rPr>
        <w:footnoteReference w:id="1"/>
      </w:r>
      <w:r w:rsidR="005E3D5A">
        <w:t xml:space="preserve"> </w:t>
      </w:r>
      <w:r>
        <w:t xml:space="preserve">shows </w:t>
      </w:r>
      <w:r w:rsidR="001306FE">
        <w:t xml:space="preserve">that </w:t>
      </w:r>
      <w:r w:rsidR="007A06EC">
        <w:t>Moffat Water Supply Corporation</w:t>
      </w:r>
      <w:r w:rsidR="00346530">
        <w:t xml:space="preserve"> </w:t>
      </w:r>
      <w:r>
        <w:t xml:space="preserve">has become </w:t>
      </w:r>
      <w:r w:rsidR="00CC3686">
        <w:t xml:space="preserve">more </w:t>
      </w:r>
      <w:r>
        <w:t>fiscally strong</w:t>
      </w:r>
      <w:r w:rsidR="00EF2C33">
        <w:t xml:space="preserve">. </w:t>
      </w:r>
      <w:r w:rsidR="001306FE">
        <w:t>All</w:t>
      </w:r>
      <w:r w:rsidR="00346530">
        <w:t xml:space="preserve"> </w:t>
      </w:r>
      <w:r w:rsidR="00BE3484">
        <w:t>debt</w:t>
      </w:r>
      <w:r w:rsidR="00346530">
        <w:t xml:space="preserve"> reserve accounts </w:t>
      </w:r>
      <w:r w:rsidR="001306FE">
        <w:t>are</w:t>
      </w:r>
      <w:r w:rsidR="008B0D1C">
        <w:t xml:space="preserve"> </w:t>
      </w:r>
      <w:r w:rsidR="001306FE">
        <w:t xml:space="preserve">fully funded </w:t>
      </w:r>
      <w:r w:rsidR="00F12BED">
        <w:t xml:space="preserve">as required by </w:t>
      </w:r>
      <w:r w:rsidR="00346530">
        <w:t>lenders</w:t>
      </w:r>
      <w:r w:rsidR="001306FE">
        <w:t>,</w:t>
      </w:r>
      <w:r w:rsidR="00346530">
        <w:t xml:space="preserve"> and </w:t>
      </w:r>
      <w:r w:rsidR="00F12BED">
        <w:t>MWSC</w:t>
      </w:r>
      <w:r w:rsidR="001306FE">
        <w:t xml:space="preserve"> </w:t>
      </w:r>
      <w:r w:rsidR="00F12BED">
        <w:t xml:space="preserve">cash levels satisfy the recommended reserve for </w:t>
      </w:r>
      <w:r w:rsidR="00346530">
        <w:t>three months of emergency operating expense</w:t>
      </w:r>
      <w:r w:rsidR="00407F37">
        <w:t>.</w:t>
      </w:r>
      <w:r w:rsidR="00EA1EC8">
        <w:t xml:space="preserve"> </w:t>
      </w:r>
      <w:r w:rsidR="001306FE">
        <w:rPr>
          <w:b/>
        </w:rPr>
        <w:t>The $</w:t>
      </w:r>
      <w:r w:rsidR="00EA1EC8">
        <w:rPr>
          <w:b/>
        </w:rPr>
        <w:t>189,257</w:t>
      </w:r>
      <w:r w:rsidR="001306FE">
        <w:rPr>
          <w:b/>
        </w:rPr>
        <w:t xml:space="preserve"> </w:t>
      </w:r>
      <w:r w:rsidR="00146E13">
        <w:rPr>
          <w:b/>
        </w:rPr>
        <w:t xml:space="preserve">Net Income </w:t>
      </w:r>
      <w:r w:rsidR="001306FE">
        <w:rPr>
          <w:b/>
        </w:rPr>
        <w:t>forecast covers</w:t>
      </w:r>
      <w:r w:rsidR="00346530">
        <w:rPr>
          <w:b/>
        </w:rPr>
        <w:t xml:space="preserve"> </w:t>
      </w:r>
      <w:r w:rsidR="001306FE">
        <w:rPr>
          <w:b/>
        </w:rPr>
        <w:t>all expense</w:t>
      </w:r>
      <w:r w:rsidR="00346530">
        <w:rPr>
          <w:b/>
        </w:rPr>
        <w:t>, depreciation,</w:t>
      </w:r>
      <w:r w:rsidR="00ED56B3">
        <w:rPr>
          <w:b/>
        </w:rPr>
        <w:t xml:space="preserve"> </w:t>
      </w:r>
      <w:r w:rsidR="00346530">
        <w:rPr>
          <w:b/>
        </w:rPr>
        <w:t xml:space="preserve">and </w:t>
      </w:r>
      <w:r w:rsidR="00ED56B3">
        <w:rPr>
          <w:b/>
        </w:rPr>
        <w:t>debt</w:t>
      </w:r>
      <w:r w:rsidR="00A80EE8" w:rsidRPr="00D91004">
        <w:rPr>
          <w:b/>
        </w:rPr>
        <w:t xml:space="preserve"> principal</w:t>
      </w:r>
      <w:r w:rsidR="0075236A" w:rsidRPr="00D91004">
        <w:rPr>
          <w:b/>
        </w:rPr>
        <w:t xml:space="preserve"> </w:t>
      </w:r>
      <w:r w:rsidR="00ED56B3">
        <w:rPr>
          <w:b/>
        </w:rPr>
        <w:t>payments</w:t>
      </w:r>
      <w:r w:rsidR="001306FE">
        <w:rPr>
          <w:b/>
        </w:rPr>
        <w:t xml:space="preserve"> for 20</w:t>
      </w:r>
      <w:r w:rsidR="005C0474">
        <w:rPr>
          <w:b/>
        </w:rPr>
        <w:t>20</w:t>
      </w:r>
      <w:r w:rsidR="003E1623">
        <w:rPr>
          <w:b/>
        </w:rPr>
        <w:t xml:space="preserve"> </w:t>
      </w:r>
      <w:r w:rsidR="00346530">
        <w:rPr>
          <w:b/>
        </w:rPr>
        <w:t>plus</w:t>
      </w:r>
      <w:r w:rsidR="003E1623">
        <w:rPr>
          <w:b/>
        </w:rPr>
        <w:t xml:space="preserve"> </w:t>
      </w:r>
      <w:r w:rsidR="00346530">
        <w:rPr>
          <w:b/>
        </w:rPr>
        <w:t xml:space="preserve">$60,000 </w:t>
      </w:r>
      <w:r w:rsidR="001306FE">
        <w:rPr>
          <w:b/>
        </w:rPr>
        <w:t>capital improvement</w:t>
      </w:r>
      <w:r w:rsidR="0075236A" w:rsidRPr="00D91004">
        <w:rPr>
          <w:b/>
        </w:rPr>
        <w:t>.</w:t>
      </w:r>
      <w:r w:rsidR="009F170C">
        <w:rPr>
          <w:b/>
        </w:rPr>
        <w:t xml:space="preserve">  </w:t>
      </w:r>
      <w:r w:rsidR="005E3D5A">
        <w:t xml:space="preserve">Total Income </w:t>
      </w:r>
      <w:r w:rsidR="00147F00">
        <w:t>represents</w:t>
      </w:r>
      <w:r w:rsidR="00EF2C33">
        <w:t xml:space="preserve"> </w:t>
      </w:r>
      <w:r w:rsidR="001306FE">
        <w:t xml:space="preserve">anticipated </w:t>
      </w:r>
      <w:r w:rsidR="00155795">
        <w:t xml:space="preserve">revenue </w:t>
      </w:r>
      <w:r w:rsidR="00576D29">
        <w:t xml:space="preserve">from water sales, </w:t>
      </w:r>
      <w:r w:rsidR="00147F00">
        <w:t>including</w:t>
      </w:r>
      <w:r w:rsidR="00576D29">
        <w:t xml:space="preserve"> $</w:t>
      </w:r>
      <w:r w:rsidR="00EA1EC8">
        <w:t>96</w:t>
      </w:r>
      <w:r w:rsidR="00576D29">
        <w:t>,000 additional from the rate increase.</w:t>
      </w:r>
      <w:r w:rsidR="0075236A">
        <w:t xml:space="preserve"> </w:t>
      </w:r>
      <w:r w:rsidR="00FB6C7B">
        <w:t>MWSC</w:t>
      </w:r>
      <w:r w:rsidR="00EF2C33">
        <w:t xml:space="preserve"> </w:t>
      </w:r>
      <w:r w:rsidR="00782C50">
        <w:t xml:space="preserve">secured </w:t>
      </w:r>
      <w:r w:rsidR="00EF2C33">
        <w:t xml:space="preserve">a $3.3 Million </w:t>
      </w:r>
      <w:r w:rsidR="00EC59DC">
        <w:t>loan</w:t>
      </w:r>
      <w:r w:rsidR="009A2D2C">
        <w:t xml:space="preserve"> </w:t>
      </w:r>
      <w:r w:rsidR="00782C50">
        <w:t>from</w:t>
      </w:r>
      <w:r w:rsidR="00EF2C33">
        <w:t xml:space="preserve"> Tex</w:t>
      </w:r>
      <w:r w:rsidR="00EC59DC">
        <w:t>as Water Development Board</w:t>
      </w:r>
      <w:r w:rsidR="009A2D2C">
        <w:t xml:space="preserve"> </w:t>
      </w:r>
      <w:r w:rsidR="00782C50">
        <w:t>in February</w:t>
      </w:r>
      <w:r w:rsidR="00EC59DC">
        <w:t xml:space="preserve">, and </w:t>
      </w:r>
      <w:r w:rsidR="00FB6C7B">
        <w:t>the 20</w:t>
      </w:r>
      <w:r w:rsidR="00AC4430">
        <w:t>20</w:t>
      </w:r>
      <w:r w:rsidR="00FB6C7B">
        <w:t xml:space="preserve"> budget </w:t>
      </w:r>
      <w:r w:rsidR="00782C50">
        <w:t>recognizes</w:t>
      </w:r>
      <w:r w:rsidR="00553791">
        <w:t xml:space="preserve"> </w:t>
      </w:r>
      <w:r w:rsidR="00782C50">
        <w:t xml:space="preserve">the additional </w:t>
      </w:r>
      <w:r w:rsidR="00EC59DC">
        <w:t xml:space="preserve">debt </w:t>
      </w:r>
      <w:r w:rsidR="00782C50">
        <w:t>obligation,</w:t>
      </w:r>
      <w:r w:rsidR="00EC59DC">
        <w:t xml:space="preserve"> depreciation</w:t>
      </w:r>
      <w:r w:rsidR="009A2D2C">
        <w:t xml:space="preserve"> </w:t>
      </w:r>
      <w:r w:rsidR="00782C50">
        <w:t>on new assets,</w:t>
      </w:r>
      <w:r w:rsidR="00EC59DC">
        <w:t xml:space="preserve"> </w:t>
      </w:r>
      <w:r w:rsidR="00782C50">
        <w:t xml:space="preserve">and a </w:t>
      </w:r>
      <w:r w:rsidR="00EC59DC">
        <w:t>higher reserve</w:t>
      </w:r>
      <w:r w:rsidR="00782C50">
        <w:t xml:space="preserve"> requirement</w:t>
      </w:r>
      <w:r w:rsidR="00EC59DC">
        <w:t>.</w:t>
      </w:r>
      <w:r w:rsidR="004B340B">
        <w:t xml:space="preserve"> </w:t>
      </w:r>
      <w:r w:rsidR="00782C50">
        <w:rPr>
          <w:b/>
        </w:rPr>
        <w:t>T</w:t>
      </w:r>
      <w:r w:rsidR="009A2D2C">
        <w:rPr>
          <w:b/>
        </w:rPr>
        <w:t>o</w:t>
      </w:r>
      <w:r w:rsidR="00782C50">
        <w:rPr>
          <w:b/>
        </w:rPr>
        <w:t xml:space="preserve"> build </w:t>
      </w:r>
      <w:r w:rsidR="00553791">
        <w:rPr>
          <w:b/>
        </w:rPr>
        <w:t xml:space="preserve">a budget </w:t>
      </w:r>
      <w:r w:rsidR="00782C50">
        <w:rPr>
          <w:b/>
        </w:rPr>
        <w:t xml:space="preserve">that covers all expenses with </w:t>
      </w:r>
      <w:r w:rsidR="002203D7">
        <w:rPr>
          <w:b/>
        </w:rPr>
        <w:t>enough</w:t>
      </w:r>
      <w:r w:rsidR="00FB6C7B">
        <w:rPr>
          <w:b/>
        </w:rPr>
        <w:t xml:space="preserve"> </w:t>
      </w:r>
      <w:r w:rsidR="00155795" w:rsidRPr="00ED56B3">
        <w:rPr>
          <w:b/>
        </w:rPr>
        <w:t xml:space="preserve">profit to </w:t>
      </w:r>
      <w:r w:rsidR="00EC59DC">
        <w:rPr>
          <w:b/>
        </w:rPr>
        <w:t>pa</w:t>
      </w:r>
      <w:r w:rsidR="007E20BA">
        <w:rPr>
          <w:b/>
        </w:rPr>
        <w:t>y</w:t>
      </w:r>
      <w:r w:rsidR="0010575D">
        <w:rPr>
          <w:b/>
        </w:rPr>
        <w:t xml:space="preserve"> </w:t>
      </w:r>
      <w:r w:rsidR="00EC59DC">
        <w:rPr>
          <w:b/>
        </w:rPr>
        <w:t>down</w:t>
      </w:r>
      <w:r w:rsidR="00782C50">
        <w:rPr>
          <w:b/>
        </w:rPr>
        <w:t xml:space="preserve"> our debt</w:t>
      </w:r>
      <w:r w:rsidR="009A2D2C">
        <w:rPr>
          <w:b/>
        </w:rPr>
        <w:t>,</w:t>
      </w:r>
      <w:r w:rsidR="00553791">
        <w:rPr>
          <w:b/>
        </w:rPr>
        <w:t xml:space="preserve"> </w:t>
      </w:r>
      <w:r w:rsidR="00782C50">
        <w:rPr>
          <w:b/>
        </w:rPr>
        <w:t xml:space="preserve">that supports </w:t>
      </w:r>
      <w:r w:rsidR="00553791">
        <w:rPr>
          <w:b/>
        </w:rPr>
        <w:t>distribution system repairs and upgrades</w:t>
      </w:r>
      <w:r w:rsidR="00155795" w:rsidRPr="00ED56B3">
        <w:rPr>
          <w:b/>
        </w:rPr>
        <w:t>, an increase is necessary.</w:t>
      </w:r>
      <w:r w:rsidR="00155795" w:rsidRPr="00155795">
        <w:t xml:space="preserve">  </w:t>
      </w:r>
    </w:p>
    <w:p w14:paraId="1396F7BC" w14:textId="21AAA0B2" w:rsidR="00A40E77" w:rsidRDefault="00A40E77" w:rsidP="00E45680">
      <w:pPr>
        <w:spacing w:after="0" w:line="240" w:lineRule="auto"/>
      </w:pPr>
    </w:p>
    <w:p w14:paraId="7D58BF4D" w14:textId="45BD3D04" w:rsidR="0010575D" w:rsidRDefault="00A40E77" w:rsidP="00A40E77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What do we own, and what do we owe</w:t>
      </w:r>
      <w:r w:rsidRPr="00064B3D">
        <w:rPr>
          <w:b/>
          <w:sz w:val="26"/>
          <w:szCs w:val="26"/>
          <w:u w:val="single"/>
        </w:rPr>
        <w:t xml:space="preserve">? </w:t>
      </w:r>
    </w:p>
    <w:p w14:paraId="07DA8EA9" w14:textId="669F9274" w:rsidR="00541E8B" w:rsidRDefault="00541E8B" w:rsidP="00A40E77">
      <w:pPr>
        <w:spacing w:after="0" w:line="240" w:lineRule="auto"/>
        <w:rPr>
          <w:b/>
          <w:sz w:val="26"/>
          <w:szCs w:val="26"/>
          <w:u w:val="single"/>
        </w:rPr>
      </w:pPr>
    </w:p>
    <w:p w14:paraId="451CDC29" w14:textId="32AA5D7D" w:rsidR="00541E8B" w:rsidRPr="000022C5" w:rsidRDefault="00541E8B" w:rsidP="00541E8B">
      <w:pPr>
        <w:spacing w:after="0" w:line="240" w:lineRule="auto"/>
        <w:rPr>
          <w:b/>
        </w:rPr>
      </w:pPr>
      <w:r>
        <w:rPr>
          <w:b/>
        </w:rPr>
        <w:t>Board focus has been strengthening</w:t>
      </w:r>
      <w:r w:rsidRPr="008A38CC">
        <w:rPr>
          <w:b/>
        </w:rPr>
        <w:t xml:space="preserve"> </w:t>
      </w:r>
      <w:r>
        <w:rPr>
          <w:b/>
        </w:rPr>
        <w:t>the</w:t>
      </w:r>
      <w:r w:rsidRPr="008A38CC">
        <w:rPr>
          <w:b/>
        </w:rPr>
        <w:t xml:space="preserve"> Balance Sheet</w:t>
      </w:r>
      <w:r>
        <w:rPr>
          <w:rStyle w:val="FootnoteReference"/>
        </w:rPr>
        <w:footnoteReference w:id="2"/>
      </w:r>
      <w:r>
        <w:rPr>
          <w:b/>
        </w:rPr>
        <w:t xml:space="preserve"> to support planned growth.</w:t>
      </w:r>
      <w:r>
        <w:t xml:space="preserve">  Since 2015, Current Assets have more than tripled, loan covenant reserve requirements</w:t>
      </w:r>
      <w:r>
        <w:rPr>
          <w:rStyle w:val="FootnoteReference"/>
        </w:rPr>
        <w:footnoteReference w:id="3"/>
      </w:r>
      <w:r>
        <w:t xml:space="preserve"> were fully funded, and Equity </w:t>
      </w:r>
      <w:r w:rsidRPr="00BB5BCE">
        <w:rPr>
          <w:sz w:val="18"/>
        </w:rPr>
        <w:t>(net worth after covering all liabilities)</w:t>
      </w:r>
      <w:r>
        <w:t xml:space="preserve"> has more than doubled. </w:t>
      </w:r>
      <w:r w:rsidR="00A80D3B">
        <w:t>C</w:t>
      </w:r>
      <w:r>
        <w:t xml:space="preserve">ash </w:t>
      </w:r>
      <w:r w:rsidR="00A80D3B">
        <w:t>assets have grown and will be used to</w:t>
      </w:r>
      <w:r>
        <w:t xml:space="preserve"> financ</w:t>
      </w:r>
      <w:r w:rsidR="00A80D3B">
        <w:t>e necessary</w:t>
      </w:r>
      <w:r>
        <w:t xml:space="preserve"> system improvement</w:t>
      </w:r>
      <w:r w:rsidR="00A80D3B">
        <w:t xml:space="preserve">s. </w:t>
      </w:r>
      <w:r>
        <w:t>The new TWDB loan has doubled MWSC’s debt, but additional source water and overhead storage is a critical need.</w:t>
      </w:r>
    </w:p>
    <w:p w14:paraId="4DA6C6D1" w14:textId="77777777" w:rsidR="0010575D" w:rsidRDefault="0010575D" w:rsidP="00A40E77">
      <w:pPr>
        <w:spacing w:after="0" w:line="240" w:lineRule="auto"/>
        <w:rPr>
          <w:b/>
          <w:sz w:val="26"/>
          <w:szCs w:val="26"/>
          <w:u w:val="single"/>
        </w:rPr>
      </w:pPr>
    </w:p>
    <w:p w14:paraId="22194BEC" w14:textId="6EF06125" w:rsidR="00A40E77" w:rsidRPr="00A80D3B" w:rsidRDefault="005A0E2E" w:rsidP="00A40E77">
      <w:pPr>
        <w:spacing w:after="0" w:line="240" w:lineRule="auto"/>
        <w:rPr>
          <w:b/>
          <w:sz w:val="26"/>
          <w:szCs w:val="26"/>
          <w:u w:val="single"/>
        </w:rPr>
      </w:pPr>
      <w:r w:rsidRPr="005A0E2E">
        <w:drawing>
          <wp:inline distT="0" distB="0" distL="0" distR="0" wp14:anchorId="37660A14" wp14:editId="66675943">
            <wp:extent cx="6858000" cy="1753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E77" w:rsidRPr="00A80D3B" w:rsidSect="005537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5B53" w14:textId="77777777" w:rsidR="008100FF" w:rsidRDefault="008100FF" w:rsidP="00513A06">
      <w:pPr>
        <w:spacing w:after="0" w:line="240" w:lineRule="auto"/>
      </w:pPr>
      <w:r>
        <w:separator/>
      </w:r>
    </w:p>
  </w:endnote>
  <w:endnote w:type="continuationSeparator" w:id="0">
    <w:p w14:paraId="54AC7EDC" w14:textId="77777777" w:rsidR="008100FF" w:rsidRDefault="008100FF" w:rsidP="005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1AEF" w14:textId="77777777" w:rsidR="008100FF" w:rsidRDefault="008100FF" w:rsidP="00513A06">
      <w:pPr>
        <w:spacing w:after="0" w:line="240" w:lineRule="auto"/>
      </w:pPr>
      <w:r>
        <w:separator/>
      </w:r>
    </w:p>
  </w:footnote>
  <w:footnote w:type="continuationSeparator" w:id="0">
    <w:p w14:paraId="39A749EF" w14:textId="77777777" w:rsidR="008100FF" w:rsidRDefault="008100FF" w:rsidP="00513A06">
      <w:pPr>
        <w:spacing w:after="0" w:line="240" w:lineRule="auto"/>
      </w:pPr>
      <w:r>
        <w:continuationSeparator/>
      </w:r>
    </w:p>
  </w:footnote>
  <w:footnote w:id="1">
    <w:p w14:paraId="22883E7D" w14:textId="3EFA9806" w:rsidR="00206878" w:rsidRPr="00585E7A" w:rsidRDefault="00206878">
      <w:pPr>
        <w:pStyle w:val="FootnoteText"/>
        <w:rPr>
          <w:sz w:val="16"/>
        </w:rPr>
      </w:pPr>
      <w:r w:rsidRPr="00585E7A">
        <w:rPr>
          <w:rStyle w:val="FootnoteReference"/>
          <w:sz w:val="16"/>
        </w:rPr>
        <w:footnoteRef/>
      </w:r>
      <w:r>
        <w:rPr>
          <w:sz w:val="16"/>
        </w:rPr>
        <w:t xml:space="preserve"> 201</w:t>
      </w:r>
      <w:r w:rsidR="00AC4430">
        <w:rPr>
          <w:sz w:val="16"/>
        </w:rPr>
        <w:t>9</w:t>
      </w:r>
      <w:r w:rsidRPr="00585E7A">
        <w:rPr>
          <w:sz w:val="16"/>
        </w:rPr>
        <w:t xml:space="preserve"> numbers </w:t>
      </w:r>
      <w:r>
        <w:rPr>
          <w:sz w:val="16"/>
        </w:rPr>
        <w:t xml:space="preserve">throughout </w:t>
      </w:r>
      <w:r w:rsidRPr="00585E7A">
        <w:rPr>
          <w:sz w:val="16"/>
        </w:rPr>
        <w:t>are projected based on Oct-Aug actuals plus</w:t>
      </w:r>
      <w:r>
        <w:rPr>
          <w:sz w:val="16"/>
        </w:rPr>
        <w:t xml:space="preserve"> an estimate for September. 201</w:t>
      </w:r>
      <w:r w:rsidR="00AC4430">
        <w:rPr>
          <w:sz w:val="16"/>
        </w:rPr>
        <w:t>9</w:t>
      </w:r>
      <w:r w:rsidRPr="00585E7A">
        <w:rPr>
          <w:sz w:val="16"/>
        </w:rPr>
        <w:t xml:space="preserve"> results are subject to audit adjustments.</w:t>
      </w:r>
    </w:p>
  </w:footnote>
  <w:footnote w:id="2">
    <w:p w14:paraId="7F36F7C4" w14:textId="77777777" w:rsidR="00541E8B" w:rsidRPr="00146E13" w:rsidRDefault="00541E8B" w:rsidP="00541E8B">
      <w:pPr>
        <w:pStyle w:val="FootnoteText"/>
        <w:rPr>
          <w:sz w:val="16"/>
          <w:szCs w:val="16"/>
        </w:rPr>
      </w:pPr>
      <w:r w:rsidRPr="00146E13">
        <w:rPr>
          <w:rStyle w:val="FootnoteReference"/>
          <w:sz w:val="16"/>
          <w:szCs w:val="16"/>
        </w:rPr>
        <w:footnoteRef/>
      </w:r>
      <w:r w:rsidRPr="00146E13">
        <w:rPr>
          <w:sz w:val="16"/>
          <w:szCs w:val="16"/>
        </w:rPr>
        <w:t xml:space="preserve"> Profit-Loss Statements show Income vs Expenses; a Balance Sheet shows Assets vs Liabilities (or, “what you own vs what you owe.”)</w:t>
      </w:r>
    </w:p>
  </w:footnote>
  <w:footnote w:id="3">
    <w:p w14:paraId="7ACC2976" w14:textId="77777777" w:rsidR="00541E8B" w:rsidRDefault="00541E8B" w:rsidP="00541E8B">
      <w:pPr>
        <w:pStyle w:val="FootnoteText"/>
      </w:pPr>
      <w:r w:rsidRPr="00FB6C7B">
        <w:rPr>
          <w:rStyle w:val="FootnoteReference"/>
          <w:sz w:val="16"/>
        </w:rPr>
        <w:footnoteRef/>
      </w:r>
      <w:r w:rsidRPr="00FB6C7B">
        <w:rPr>
          <w:sz w:val="16"/>
        </w:rPr>
        <w:t xml:space="preserve"> </w:t>
      </w:r>
      <w:r>
        <w:rPr>
          <w:sz w:val="16"/>
          <w:szCs w:val="16"/>
        </w:rPr>
        <w:t>Each loan requires MWSC fund a reserve for a full year’s worth of principal and interest within 5 years of signing the loan agreement.</w:t>
      </w:r>
      <w:r w:rsidRPr="00146E13">
        <w:rPr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27"/>
    <w:rsid w:val="000022C5"/>
    <w:rsid w:val="00043CB4"/>
    <w:rsid w:val="00053A88"/>
    <w:rsid w:val="00064B3D"/>
    <w:rsid w:val="0007667B"/>
    <w:rsid w:val="00094355"/>
    <w:rsid w:val="000A4945"/>
    <w:rsid w:val="000C7480"/>
    <w:rsid w:val="000F2414"/>
    <w:rsid w:val="000F6F57"/>
    <w:rsid w:val="001039FD"/>
    <w:rsid w:val="0010575D"/>
    <w:rsid w:val="001306FE"/>
    <w:rsid w:val="001312B0"/>
    <w:rsid w:val="00146E13"/>
    <w:rsid w:val="00147F00"/>
    <w:rsid w:val="00151C98"/>
    <w:rsid w:val="00154C26"/>
    <w:rsid w:val="00155795"/>
    <w:rsid w:val="0016680B"/>
    <w:rsid w:val="00183727"/>
    <w:rsid w:val="00185079"/>
    <w:rsid w:val="00195793"/>
    <w:rsid w:val="001D2D24"/>
    <w:rsid w:val="001E3104"/>
    <w:rsid w:val="001E5D3A"/>
    <w:rsid w:val="00206878"/>
    <w:rsid w:val="00207201"/>
    <w:rsid w:val="002203D7"/>
    <w:rsid w:val="002240D1"/>
    <w:rsid w:val="00241B5C"/>
    <w:rsid w:val="00243B94"/>
    <w:rsid w:val="002441D4"/>
    <w:rsid w:val="00247006"/>
    <w:rsid w:val="00260869"/>
    <w:rsid w:val="00261C2D"/>
    <w:rsid w:val="0027309C"/>
    <w:rsid w:val="00277049"/>
    <w:rsid w:val="00285AE2"/>
    <w:rsid w:val="00285CAC"/>
    <w:rsid w:val="002B2804"/>
    <w:rsid w:val="002C6239"/>
    <w:rsid w:val="002C6A04"/>
    <w:rsid w:val="002D15D8"/>
    <w:rsid w:val="002E5ADC"/>
    <w:rsid w:val="00311DFA"/>
    <w:rsid w:val="003218E9"/>
    <w:rsid w:val="00335186"/>
    <w:rsid w:val="003375BC"/>
    <w:rsid w:val="00343036"/>
    <w:rsid w:val="00346530"/>
    <w:rsid w:val="00347FF9"/>
    <w:rsid w:val="003A5040"/>
    <w:rsid w:val="003B3230"/>
    <w:rsid w:val="003E01E4"/>
    <w:rsid w:val="003E1623"/>
    <w:rsid w:val="003F1A4D"/>
    <w:rsid w:val="003F610D"/>
    <w:rsid w:val="00407F37"/>
    <w:rsid w:val="00430E4A"/>
    <w:rsid w:val="00431029"/>
    <w:rsid w:val="00475D98"/>
    <w:rsid w:val="004B340B"/>
    <w:rsid w:val="004C1650"/>
    <w:rsid w:val="004C2C13"/>
    <w:rsid w:val="004D3E67"/>
    <w:rsid w:val="004F706F"/>
    <w:rsid w:val="00501C3F"/>
    <w:rsid w:val="00513A06"/>
    <w:rsid w:val="00523125"/>
    <w:rsid w:val="0053350B"/>
    <w:rsid w:val="0053668F"/>
    <w:rsid w:val="00541E8B"/>
    <w:rsid w:val="00550C0B"/>
    <w:rsid w:val="00553791"/>
    <w:rsid w:val="00576D29"/>
    <w:rsid w:val="00581581"/>
    <w:rsid w:val="00585E7A"/>
    <w:rsid w:val="005A0E2E"/>
    <w:rsid w:val="005A4F3A"/>
    <w:rsid w:val="005C0474"/>
    <w:rsid w:val="005E3D5A"/>
    <w:rsid w:val="006139D0"/>
    <w:rsid w:val="006174F7"/>
    <w:rsid w:val="00621FD5"/>
    <w:rsid w:val="00655E68"/>
    <w:rsid w:val="006930D0"/>
    <w:rsid w:val="006A1BFE"/>
    <w:rsid w:val="006D6CF8"/>
    <w:rsid w:val="006F133D"/>
    <w:rsid w:val="00721193"/>
    <w:rsid w:val="0075236A"/>
    <w:rsid w:val="00756903"/>
    <w:rsid w:val="007772F0"/>
    <w:rsid w:val="007817F0"/>
    <w:rsid w:val="00782C50"/>
    <w:rsid w:val="0079611E"/>
    <w:rsid w:val="007A06EC"/>
    <w:rsid w:val="007A1976"/>
    <w:rsid w:val="007A5D43"/>
    <w:rsid w:val="007D6E34"/>
    <w:rsid w:val="007E20BA"/>
    <w:rsid w:val="007F4636"/>
    <w:rsid w:val="00804744"/>
    <w:rsid w:val="008100FF"/>
    <w:rsid w:val="00833832"/>
    <w:rsid w:val="008358FC"/>
    <w:rsid w:val="00835992"/>
    <w:rsid w:val="008403DE"/>
    <w:rsid w:val="00887492"/>
    <w:rsid w:val="008A38CC"/>
    <w:rsid w:val="008B0D1C"/>
    <w:rsid w:val="008C019E"/>
    <w:rsid w:val="008D316D"/>
    <w:rsid w:val="008E23DD"/>
    <w:rsid w:val="008E4E37"/>
    <w:rsid w:val="009355E7"/>
    <w:rsid w:val="009A2D2C"/>
    <w:rsid w:val="009C7AC3"/>
    <w:rsid w:val="009F170C"/>
    <w:rsid w:val="009F745D"/>
    <w:rsid w:val="00A20EC3"/>
    <w:rsid w:val="00A40E77"/>
    <w:rsid w:val="00A80D3B"/>
    <w:rsid w:val="00A80EE8"/>
    <w:rsid w:val="00AB0788"/>
    <w:rsid w:val="00AB0E2B"/>
    <w:rsid w:val="00AB1F95"/>
    <w:rsid w:val="00AC0F83"/>
    <w:rsid w:val="00AC4430"/>
    <w:rsid w:val="00AE047A"/>
    <w:rsid w:val="00AF2396"/>
    <w:rsid w:val="00B204D9"/>
    <w:rsid w:val="00B37621"/>
    <w:rsid w:val="00B40885"/>
    <w:rsid w:val="00B42579"/>
    <w:rsid w:val="00B44B8B"/>
    <w:rsid w:val="00B55C28"/>
    <w:rsid w:val="00B57D08"/>
    <w:rsid w:val="00B844E4"/>
    <w:rsid w:val="00BB5BCE"/>
    <w:rsid w:val="00BE3484"/>
    <w:rsid w:val="00C63133"/>
    <w:rsid w:val="00C72629"/>
    <w:rsid w:val="00C7460F"/>
    <w:rsid w:val="00CA6ACC"/>
    <w:rsid w:val="00CB7E99"/>
    <w:rsid w:val="00CC3686"/>
    <w:rsid w:val="00CD38E4"/>
    <w:rsid w:val="00D1128D"/>
    <w:rsid w:val="00D22521"/>
    <w:rsid w:val="00D527BA"/>
    <w:rsid w:val="00D672C8"/>
    <w:rsid w:val="00D91004"/>
    <w:rsid w:val="00DA5650"/>
    <w:rsid w:val="00DA7267"/>
    <w:rsid w:val="00DB33E9"/>
    <w:rsid w:val="00DE024A"/>
    <w:rsid w:val="00DF127D"/>
    <w:rsid w:val="00E253E8"/>
    <w:rsid w:val="00E2769B"/>
    <w:rsid w:val="00E3219A"/>
    <w:rsid w:val="00E45680"/>
    <w:rsid w:val="00E77F74"/>
    <w:rsid w:val="00E909C8"/>
    <w:rsid w:val="00EA1EC8"/>
    <w:rsid w:val="00EB3502"/>
    <w:rsid w:val="00EB4027"/>
    <w:rsid w:val="00EC59DC"/>
    <w:rsid w:val="00ED56B3"/>
    <w:rsid w:val="00EE09D6"/>
    <w:rsid w:val="00EF0CA2"/>
    <w:rsid w:val="00EF2C33"/>
    <w:rsid w:val="00F12BED"/>
    <w:rsid w:val="00F40ECD"/>
    <w:rsid w:val="00F47EDE"/>
    <w:rsid w:val="00F508F3"/>
    <w:rsid w:val="00F57FF0"/>
    <w:rsid w:val="00FB6C7B"/>
    <w:rsid w:val="00FE377D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92A2"/>
  <w15:docId w15:val="{58B66901-DC40-482B-80E6-5ED480A8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3A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A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A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DBBD-24EE-4592-ADC2-9B5F5588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Extraco Banks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CTraudt</dc:creator>
  <cp:lastModifiedBy>Rebecca Miller</cp:lastModifiedBy>
  <cp:revision>4</cp:revision>
  <cp:lastPrinted>2019-10-30T21:26:00Z</cp:lastPrinted>
  <dcterms:created xsi:type="dcterms:W3CDTF">2019-11-14T15:20:00Z</dcterms:created>
  <dcterms:modified xsi:type="dcterms:W3CDTF">2019-11-19T21:07:00Z</dcterms:modified>
</cp:coreProperties>
</file>